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bookmarkStart w:id="1" w:name="_GoBack"/>
            <w:bookmarkEnd w:id="1"/>
            <w:r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spacing w:line="240" w:lineRule="exact"/>
              <w:rPr>
                <w:rFonts w:cs="Times New Roman"/>
                <w:szCs w:val="28"/>
              </w:rPr>
            </w:pPr>
            <w:permStart w:id="881939552" w:edGrp="everyone"/>
            <w:r>
              <w:rPr>
                <w:rFonts w:cs="Times New Roman"/>
                <w:szCs w:val="28"/>
              </w:rPr>
              <w:t>Прокуратура Белгородской области</w:t>
            </w:r>
          </w:p>
          <w:p>
            <w:pPr>
              <w:spacing w:line="240" w:lineRule="exact"/>
              <w:rPr>
                <w:rFonts w:cs="Times New Roman"/>
                <w:szCs w:val="28"/>
              </w:rPr>
            </w:pPr>
          </w:p>
          <w:p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Старшему помощнику прокурора области по взаимодействию со средствами массовой информации</w:t>
            </w:r>
          </w:p>
          <w:p>
            <w:pPr>
              <w:spacing w:line="240" w:lineRule="exact"/>
              <w:rPr>
                <w:rFonts w:cs="Times New Roman"/>
                <w:szCs w:val="28"/>
              </w:rPr>
            </w:pPr>
          </w:p>
          <w:p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советнику юстиции</w:t>
            </w:r>
          </w:p>
          <w:p>
            <w:pPr>
              <w:spacing w:line="240" w:lineRule="exact"/>
              <w:rPr>
                <w:rFonts w:cs="Times New Roman"/>
                <w:szCs w:val="28"/>
              </w:rPr>
            </w:pPr>
          </w:p>
          <w:p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Акиевой</w:t>
            </w:r>
            <w:proofErr w:type="spellEnd"/>
            <w:r>
              <w:rPr>
                <w:rFonts w:cs="Times New Roman"/>
                <w:szCs w:val="28"/>
              </w:rPr>
              <w:t xml:space="preserve"> О.Р.</w:t>
            </w:r>
          </w:p>
          <w:p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permEnd w:id="881939552"/>
          </w:p>
        </w:tc>
      </w:tr>
      <w:tr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rPr>
                <w:rFonts w:cs="Times New Roman"/>
                <w:sz w:val="20"/>
                <w:szCs w:val="20"/>
              </w:rPr>
            </w:pPr>
            <w:bookmarkStart w:id="2" w:name="REGNUMDATESTAMP"/>
            <w:r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2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</w:tr>
      <w:tr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8"/>
              </w:rPr>
            </w:pPr>
          </w:p>
        </w:tc>
      </w:tr>
      <w:tr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</w:tr>
      <w:tr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="240" w:lineRule="exact"/>
            </w:pPr>
            <w:permStart w:id="237727591" w:edGrp="everyone"/>
            <w:r>
              <w:t>ИНФОРМАЦИЯ</w:t>
            </w:r>
          </w:p>
          <w:p>
            <w:pPr>
              <w:spacing w:line="240" w:lineRule="exact"/>
            </w:pPr>
            <w:r>
              <w:t xml:space="preserve">для публикации в СМИ </w:t>
            </w:r>
          </w:p>
        </w:tc>
      </w:tr>
      <w:permEnd w:id="237727591"/>
    </w:tbl>
    <w:p>
      <w:pPr>
        <w:ind w:firstLine="708"/>
        <w:jc w:val="both"/>
      </w:pPr>
    </w:p>
    <w:p>
      <w:pPr>
        <w:ind w:firstLine="708"/>
        <w:jc w:val="both"/>
      </w:pPr>
      <w:permStart w:id="1088370335" w:edGrp="everyone"/>
      <w:r>
        <w:t xml:space="preserve">Прокуратурой Белгородского района в феврале 2024 года проведена </w:t>
      </w:r>
      <w:proofErr w:type="gramStart"/>
      <w:r>
        <w:t>проверка  соблюдения</w:t>
      </w:r>
      <w:proofErr w:type="gramEnd"/>
      <w:r>
        <w:t xml:space="preserve"> законодательства о недрах.</w:t>
      </w:r>
    </w:p>
    <w:p>
      <w:pPr>
        <w:ind w:firstLine="708"/>
        <w:jc w:val="both"/>
        <w:rPr>
          <w:rFonts w:eastAsia="NSimSun" w:cs="Times New Roman"/>
          <w:bCs/>
          <w:color w:val="000000"/>
          <w:szCs w:val="28"/>
        </w:rPr>
      </w:pPr>
      <w:proofErr w:type="gramStart"/>
      <w:r>
        <w:rPr>
          <w:rFonts w:eastAsia="NSimSun" w:cs="Times New Roman"/>
          <w:bCs/>
          <w:color w:val="000000"/>
          <w:szCs w:val="28"/>
        </w:rPr>
        <w:t xml:space="preserve">Установлено, </w:t>
      </w:r>
      <w:r>
        <w:rPr>
          <w:rFonts w:eastAsia="NSimSun" w:cs="Times New Roman"/>
          <w:bCs/>
          <w:color w:val="000000"/>
          <w:szCs w:val="28"/>
        </w:rPr>
        <w:t xml:space="preserve"> что</w:t>
      </w:r>
      <w:proofErr w:type="gramEnd"/>
      <w:r>
        <w:rPr>
          <w:rFonts w:eastAsia="NSimSun" w:cs="Times New Roman"/>
          <w:bCs/>
          <w:color w:val="000000"/>
          <w:szCs w:val="28"/>
        </w:rPr>
        <w:t xml:space="preserve"> за ГУП «</w:t>
      </w:r>
      <w:proofErr w:type="spellStart"/>
      <w:r>
        <w:rPr>
          <w:rFonts w:eastAsia="NSimSun" w:cs="Times New Roman"/>
          <w:bCs/>
          <w:color w:val="000000"/>
          <w:szCs w:val="28"/>
        </w:rPr>
        <w:t>Белоблводоканал</w:t>
      </w:r>
      <w:proofErr w:type="spellEnd"/>
      <w:r>
        <w:rPr>
          <w:rFonts w:eastAsia="NSimSun" w:cs="Times New Roman"/>
          <w:bCs/>
          <w:color w:val="000000"/>
          <w:szCs w:val="28"/>
        </w:rPr>
        <w:t>» закреплены 2 водозаборные скважины, расположенные на территории Белгородского района.</w:t>
      </w:r>
    </w:p>
    <w:p>
      <w:pPr>
        <w:ind w:firstLine="708"/>
        <w:jc w:val="both"/>
        <w:rPr>
          <w:rFonts w:eastAsia="NSimSun" w:cs="Times New Roman"/>
          <w:bCs/>
          <w:color w:val="000000"/>
          <w:szCs w:val="28"/>
        </w:rPr>
      </w:pPr>
      <w:r>
        <w:rPr>
          <w:rFonts w:eastAsia="NSimSun" w:cs="Times New Roman"/>
          <w:bCs/>
          <w:color w:val="000000"/>
          <w:szCs w:val="28"/>
        </w:rPr>
        <w:t xml:space="preserve">Лицензия на пользование </w:t>
      </w:r>
      <w:proofErr w:type="gramStart"/>
      <w:r>
        <w:rPr>
          <w:rFonts w:eastAsia="NSimSun" w:cs="Times New Roman"/>
          <w:bCs/>
          <w:color w:val="000000"/>
          <w:szCs w:val="28"/>
        </w:rPr>
        <w:t>недрами  в</w:t>
      </w:r>
      <w:proofErr w:type="gramEnd"/>
      <w:r>
        <w:rPr>
          <w:rFonts w:eastAsia="NSimSun" w:cs="Times New Roman"/>
          <w:bCs/>
          <w:color w:val="000000"/>
          <w:szCs w:val="28"/>
        </w:rPr>
        <w:t xml:space="preserve"> отношении водозаборных скважин не оформлялась в период с 04.08.2021 по 22.01.2024.</w:t>
      </w:r>
    </w:p>
    <w:p>
      <w:pPr>
        <w:ind w:firstLine="708"/>
        <w:jc w:val="both"/>
        <w:rPr>
          <w:rFonts w:eastAsia="NSimSun" w:cs="Times New Roman"/>
          <w:bCs/>
          <w:color w:val="000000"/>
          <w:szCs w:val="28"/>
        </w:rPr>
      </w:pPr>
      <w:r>
        <w:rPr>
          <w:rFonts w:eastAsia="NSimSun" w:cs="Times New Roman"/>
          <w:bCs/>
          <w:color w:val="000000"/>
          <w:szCs w:val="28"/>
        </w:rPr>
        <w:t>Таким образом, на протяжении длительного времени ГУП «</w:t>
      </w:r>
      <w:proofErr w:type="spellStart"/>
      <w:r>
        <w:rPr>
          <w:rFonts w:eastAsia="NSimSun" w:cs="Times New Roman"/>
          <w:bCs/>
          <w:color w:val="000000"/>
          <w:szCs w:val="28"/>
        </w:rPr>
        <w:t>Белоблводоканал</w:t>
      </w:r>
      <w:proofErr w:type="spellEnd"/>
      <w:r>
        <w:rPr>
          <w:rFonts w:eastAsia="NSimSun" w:cs="Times New Roman"/>
          <w:bCs/>
          <w:color w:val="000000"/>
          <w:szCs w:val="28"/>
        </w:rPr>
        <w:t>» использовал скважины водозабора без лицензии.</w:t>
      </w:r>
    </w:p>
    <w:p>
      <w:pPr>
        <w:ind w:firstLine="708"/>
        <w:jc w:val="both"/>
        <w:rPr>
          <w:rFonts w:eastAsia="NSimSun" w:cs="Times New Roman"/>
          <w:bCs/>
          <w:color w:val="000000"/>
          <w:szCs w:val="28"/>
        </w:rPr>
      </w:pPr>
      <w:r>
        <w:rPr>
          <w:rFonts w:eastAsia="NSimSun" w:cs="Times New Roman"/>
          <w:bCs/>
          <w:color w:val="000000"/>
          <w:szCs w:val="28"/>
        </w:rPr>
        <w:t xml:space="preserve">По результатам проверки в </w:t>
      </w:r>
      <w:proofErr w:type="gramStart"/>
      <w:r>
        <w:rPr>
          <w:rFonts w:eastAsia="NSimSun" w:cs="Times New Roman"/>
          <w:bCs/>
          <w:color w:val="000000"/>
          <w:szCs w:val="28"/>
        </w:rPr>
        <w:t xml:space="preserve">отношении  </w:t>
      </w:r>
      <w:bookmarkStart w:id="3" w:name="_Hlk185426862"/>
      <w:r>
        <w:rPr>
          <w:rFonts w:eastAsia="NSimSun" w:cs="Times New Roman"/>
          <w:bCs/>
          <w:color w:val="000000"/>
          <w:szCs w:val="28"/>
        </w:rPr>
        <w:t>начальника</w:t>
      </w:r>
      <w:proofErr w:type="gramEnd"/>
      <w:r>
        <w:rPr>
          <w:rFonts w:eastAsia="NSimSun" w:cs="Times New Roman"/>
          <w:bCs/>
          <w:color w:val="000000"/>
          <w:szCs w:val="28"/>
        </w:rPr>
        <w:t xml:space="preserve"> гидрогеологического  отдела ГУП «</w:t>
      </w:r>
      <w:proofErr w:type="spellStart"/>
      <w:r>
        <w:rPr>
          <w:rFonts w:eastAsia="NSimSun" w:cs="Times New Roman"/>
          <w:bCs/>
          <w:color w:val="000000"/>
          <w:szCs w:val="28"/>
        </w:rPr>
        <w:t>Белоблводоканал</w:t>
      </w:r>
      <w:proofErr w:type="spellEnd"/>
      <w:r>
        <w:rPr>
          <w:rFonts w:eastAsia="NSimSun" w:cs="Times New Roman"/>
          <w:bCs/>
          <w:color w:val="000000"/>
          <w:szCs w:val="28"/>
        </w:rPr>
        <w:t>»</w:t>
      </w:r>
      <w:bookmarkEnd w:id="3"/>
      <w:r>
        <w:rPr>
          <w:rFonts w:eastAsia="NSimSun" w:cs="Times New Roman"/>
          <w:bCs/>
          <w:color w:val="000000"/>
          <w:szCs w:val="28"/>
        </w:rPr>
        <w:t xml:space="preserve">  вынесено постановление о возбуждении дела об административном правонарушении по  ч. 1 ст. 7.3 КоАП РФ – пользование недрами без лицензии, которое направлено на рассмотрение в Управление экологического и охотничьего надзора Белгородской области. В ГУП «</w:t>
      </w:r>
      <w:proofErr w:type="spellStart"/>
      <w:r>
        <w:rPr>
          <w:rFonts w:eastAsia="NSimSun" w:cs="Times New Roman"/>
          <w:bCs/>
          <w:color w:val="000000"/>
          <w:szCs w:val="28"/>
        </w:rPr>
        <w:t>Белоблводоканал</w:t>
      </w:r>
      <w:proofErr w:type="spellEnd"/>
      <w:r>
        <w:rPr>
          <w:rFonts w:eastAsia="NSimSun" w:cs="Times New Roman"/>
          <w:bCs/>
          <w:color w:val="000000"/>
          <w:szCs w:val="28"/>
        </w:rPr>
        <w:t>» внесено представление, которое рассмотрено и удовлетворено.</w:t>
      </w:r>
    </w:p>
    <w:p>
      <w:pPr>
        <w:ind w:firstLine="708"/>
        <w:jc w:val="both"/>
        <w:rPr>
          <w:rFonts w:eastAsia="NSimSun" w:cs="Times New Roman"/>
          <w:bCs/>
          <w:color w:val="000000"/>
          <w:szCs w:val="28"/>
        </w:rPr>
      </w:pPr>
      <w:r>
        <w:rPr>
          <w:rFonts w:eastAsia="NSimSun" w:cs="Times New Roman"/>
          <w:bCs/>
          <w:color w:val="000000"/>
          <w:szCs w:val="28"/>
        </w:rPr>
        <w:t xml:space="preserve">По результатам рассмотрения постановления о </w:t>
      </w:r>
      <w:proofErr w:type="gramStart"/>
      <w:r>
        <w:rPr>
          <w:rFonts w:eastAsia="NSimSun" w:cs="Times New Roman"/>
          <w:bCs/>
          <w:color w:val="000000"/>
          <w:szCs w:val="28"/>
        </w:rPr>
        <w:t>возбуждении  дела</w:t>
      </w:r>
      <w:proofErr w:type="gramEnd"/>
      <w:r>
        <w:rPr>
          <w:rFonts w:eastAsia="NSimSun" w:cs="Times New Roman"/>
          <w:bCs/>
          <w:color w:val="000000"/>
          <w:szCs w:val="28"/>
        </w:rPr>
        <w:t xml:space="preserve"> об административном правонарушении должностное лицо ГУП «</w:t>
      </w:r>
      <w:proofErr w:type="spellStart"/>
      <w:r>
        <w:rPr>
          <w:rFonts w:eastAsia="NSimSun" w:cs="Times New Roman"/>
          <w:bCs/>
          <w:color w:val="000000"/>
          <w:szCs w:val="28"/>
        </w:rPr>
        <w:t>Белоблводоканал</w:t>
      </w:r>
      <w:proofErr w:type="spellEnd"/>
      <w:r>
        <w:rPr>
          <w:rFonts w:eastAsia="NSimSun" w:cs="Times New Roman"/>
          <w:bCs/>
          <w:color w:val="000000"/>
          <w:szCs w:val="28"/>
        </w:rPr>
        <w:t>» привлечено к административной ответственности в виде штрафа на сумму 30 000 руб.</w:t>
      </w:r>
    </w:p>
    <w:p>
      <w:pPr>
        <w:ind w:firstLine="708"/>
        <w:jc w:val="both"/>
        <w:rPr>
          <w:rFonts w:eastAsia="NSimSun" w:cs="Times New Roman"/>
          <w:bCs/>
          <w:color w:val="000000"/>
          <w:szCs w:val="28"/>
        </w:rPr>
      </w:pPr>
      <w:r>
        <w:rPr>
          <w:rFonts w:eastAsia="NSimSun" w:cs="Times New Roman"/>
          <w:bCs/>
          <w:color w:val="000000"/>
          <w:szCs w:val="28"/>
        </w:rPr>
        <w:t>Постановление старшего государственного инспектора Белгородской области в области окружающей среды  управления экологического и охотничьего надзора  Белгородской области  от 09.02.2024, оставленным без изменения решением судьи Свердловского районного суда г. Белгорода от 16.04.2024, решением Белгородского областного суда от 10.06.2024 начальник гидрогеологического отдела ГУП «</w:t>
      </w:r>
      <w:proofErr w:type="spellStart"/>
      <w:r>
        <w:rPr>
          <w:rFonts w:eastAsia="NSimSun" w:cs="Times New Roman"/>
          <w:bCs/>
          <w:color w:val="000000"/>
          <w:szCs w:val="28"/>
        </w:rPr>
        <w:t>Белоблводоканал</w:t>
      </w:r>
      <w:proofErr w:type="spellEnd"/>
      <w:r>
        <w:rPr>
          <w:rFonts w:eastAsia="NSimSun" w:cs="Times New Roman"/>
          <w:bCs/>
          <w:color w:val="000000"/>
          <w:szCs w:val="28"/>
        </w:rPr>
        <w:t>»  признан виновным в  совершении административного правонарушения и подвергнут административному наказанию в виде штрафа в размере 30000 руб.</w:t>
      </w:r>
    </w:p>
    <w:p>
      <w:pPr>
        <w:ind w:firstLine="708"/>
        <w:jc w:val="both"/>
        <w:rPr>
          <w:rFonts w:eastAsia="NSimSun" w:cs="Times New Roman"/>
          <w:bCs/>
          <w:color w:val="000000"/>
          <w:szCs w:val="28"/>
        </w:rPr>
      </w:pPr>
      <w:r>
        <w:rPr>
          <w:rFonts w:eastAsia="NSimSun" w:cs="Times New Roman"/>
          <w:bCs/>
          <w:color w:val="000000"/>
          <w:szCs w:val="28"/>
        </w:rPr>
        <w:t xml:space="preserve">Не согласившись с решением Белгородского областного </w:t>
      </w:r>
      <w:proofErr w:type="gramStart"/>
      <w:r>
        <w:rPr>
          <w:rFonts w:eastAsia="NSimSun" w:cs="Times New Roman"/>
          <w:bCs/>
          <w:color w:val="000000"/>
          <w:szCs w:val="28"/>
        </w:rPr>
        <w:t>суда  начальник</w:t>
      </w:r>
      <w:proofErr w:type="gramEnd"/>
      <w:r>
        <w:rPr>
          <w:rFonts w:eastAsia="NSimSun" w:cs="Times New Roman"/>
          <w:bCs/>
          <w:color w:val="000000"/>
          <w:szCs w:val="28"/>
        </w:rPr>
        <w:t xml:space="preserve"> гидрогеологического  отдела ГУП «</w:t>
      </w:r>
      <w:proofErr w:type="spellStart"/>
      <w:r>
        <w:rPr>
          <w:rFonts w:eastAsia="NSimSun" w:cs="Times New Roman"/>
          <w:bCs/>
          <w:color w:val="000000"/>
          <w:szCs w:val="28"/>
        </w:rPr>
        <w:t>Белоблводоканал</w:t>
      </w:r>
      <w:proofErr w:type="spellEnd"/>
      <w:r>
        <w:rPr>
          <w:rFonts w:eastAsia="NSimSun" w:cs="Times New Roman"/>
          <w:bCs/>
          <w:color w:val="000000"/>
          <w:szCs w:val="28"/>
        </w:rPr>
        <w:t>»  обратился с жалобой в первый кассационный суд общей юрисдикции.</w:t>
      </w:r>
    </w:p>
    <w:p>
      <w:pPr>
        <w:ind w:firstLine="708"/>
        <w:jc w:val="both"/>
        <w:rPr>
          <w:rFonts w:eastAsia="NSimSun" w:cs="Times New Roman"/>
          <w:bCs/>
          <w:color w:val="000000"/>
          <w:szCs w:val="28"/>
        </w:rPr>
      </w:pPr>
      <w:r>
        <w:rPr>
          <w:rFonts w:eastAsia="NSimSun" w:cs="Times New Roman"/>
          <w:bCs/>
          <w:color w:val="000000"/>
          <w:szCs w:val="28"/>
        </w:rPr>
        <w:t xml:space="preserve">Постановлением первого кассационного суда общей юрисдикции от </w:t>
      </w:r>
      <w:proofErr w:type="gramStart"/>
      <w:r>
        <w:rPr>
          <w:rFonts w:eastAsia="NSimSun" w:cs="Times New Roman"/>
          <w:bCs/>
          <w:color w:val="000000"/>
          <w:szCs w:val="28"/>
        </w:rPr>
        <w:t>04.12.2024  решения</w:t>
      </w:r>
      <w:proofErr w:type="gramEnd"/>
      <w:r>
        <w:rPr>
          <w:rFonts w:eastAsia="NSimSun" w:cs="Times New Roman"/>
          <w:bCs/>
          <w:color w:val="000000"/>
          <w:szCs w:val="28"/>
        </w:rPr>
        <w:t xml:space="preserve">  судьи Свердловского районного суда г. Белгорода  от 09.02.2024, решение Белгородского областного суда  от 16.04.2024 отставлены без изменения,  жалоба  должностного лица  -  оставлена без  удовлетворения.</w:t>
      </w:r>
    </w:p>
    <w:p>
      <w:pPr>
        <w:ind w:firstLine="708"/>
        <w:jc w:val="both"/>
      </w:pPr>
      <w:r>
        <w:lastRenderedPageBreak/>
        <w:t xml:space="preserve">  </w:t>
      </w:r>
      <w:permEnd w:id="1088370335"/>
      <w:r>
        <w:t xml:space="preserve"> </w:t>
      </w:r>
    </w:p>
    <w:p>
      <w:pPr>
        <w:ind w:firstLine="708"/>
        <w:jc w:val="both"/>
      </w:pPr>
    </w:p>
    <w:p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line="240" w:lineRule="exact"/>
              <w:rPr>
                <w:rFonts w:cs="Times New Roman"/>
                <w:szCs w:val="28"/>
              </w:rPr>
            </w:pPr>
            <w:permStart w:id="806252732" w:edGrp="everyone"/>
            <w:r>
              <w:rPr>
                <w:rFonts w:cs="Times New Roman"/>
                <w:szCs w:val="28"/>
              </w:rPr>
              <w:t>Заместитель прокурора района</w:t>
            </w:r>
            <w:permEnd w:id="806252732"/>
          </w:p>
        </w:tc>
        <w:tc>
          <w:tcPr>
            <w:tcW w:w="3969" w:type="dxa"/>
            <w:vAlign w:val="bottom"/>
          </w:tcPr>
          <w:p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  <w:vAlign w:val="bottom"/>
          </w:tcPr>
          <w:p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line="240" w:lineRule="exact"/>
              <w:rPr>
                <w:rFonts w:cs="Times New Roman"/>
                <w:szCs w:val="28"/>
              </w:rPr>
            </w:pPr>
            <w:permStart w:id="913062092" w:edGrp="everyone"/>
            <w:r>
              <w:rPr>
                <w:rFonts w:cs="Times New Roman"/>
                <w:szCs w:val="28"/>
              </w:rPr>
              <w:t>советник юстиции</w:t>
            </w:r>
            <w:permEnd w:id="913062092"/>
          </w:p>
        </w:tc>
        <w:bookmarkStart w:id="4" w:name="SIGNERNAME1"/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4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>
        <w:tc>
          <w:tcPr>
            <w:tcW w:w="9503" w:type="dxa"/>
            <w:hideMark/>
          </w:tcPr>
          <w:p>
            <w:pPr>
              <w:rPr>
                <w:sz w:val="22"/>
              </w:rPr>
            </w:pPr>
            <w:permStart w:id="88047507" w:edGrp="everyone"/>
            <w:r>
              <w:rPr>
                <w:sz w:val="24"/>
                <w:szCs w:val="24"/>
              </w:rPr>
              <w:t>Мамчур Ю.Н. т. 32-42-04</w:t>
            </w:r>
            <w:permEnd w:id="88047507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>
            <w:pPr>
              <w:rPr>
                <w:sz w:val="22"/>
              </w:rPr>
            </w:pPr>
          </w:p>
        </w:tc>
      </w:tr>
    </w:tbl>
    <w:p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5" w:name="SIGNERSTAMP1"/>
      <w:r>
        <w:rPr>
          <w:rFonts w:cs="Times New Roman"/>
          <w:color w:val="D9D9D9" w:themeColor="background1" w:themeShade="D9"/>
          <w:szCs w:val="28"/>
        </w:rPr>
        <w:t>штамп подписи</w:t>
      </w:r>
      <w:bookmarkEnd w:id="5"/>
    </w:p>
    <w:sectPr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>
      <w:trPr>
        <w:cantSplit/>
        <w:trHeight w:val="57"/>
      </w:trPr>
      <w:tc>
        <w:tcPr>
          <w:tcW w:w="3643" w:type="dxa"/>
        </w:tcPr>
        <w:p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6" w:name="SIGNERORG1"/>
          <w:r>
            <w:rPr>
              <w:rFonts w:eastAsia="Calibri"/>
              <w:sz w:val="16"/>
              <w:szCs w:val="16"/>
            </w:rPr>
            <w:t>организация</w:t>
          </w:r>
          <w:bookmarkEnd w:id="6"/>
        </w:p>
        <w:p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 xml:space="preserve">№ </w:t>
          </w:r>
          <w:bookmarkStart w:id="7" w:name="REGNUMSTAMP"/>
          <w:r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7"/>
        </w:p>
      </w:tc>
    </w:tr>
  </w:tbl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Content>
      <w:p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61AAC"/>
    <w:multiLevelType w:val="hybridMultilevel"/>
    <w:tmpl w:val="FD20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Fg21H1X7dBnmgjy2L2k/LFmHsQQuq7yNAThkjI6W2bLhDxomaEtg1myzOgbpkfS2lN2FNs8ZeQmf0b5frn388g==" w:salt="XDENAG+urld/33pp3YnF+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Pr>
      <w:rFonts w:cs="Times New Roman"/>
      <w:sz w:val="24"/>
      <w:szCs w:val="24"/>
    </w:rPr>
  </w:style>
  <w:style w:type="paragraph" w:styleId="ad">
    <w:name w:val="No Spacing"/>
    <w:basedOn w:val="a"/>
    <w:uiPriority w:val="1"/>
    <w:qFormat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1D045E-0F60-4D35-B2D7-E969FCB1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1</TotalTime>
  <Pages>2</Pages>
  <Words>379</Words>
  <Characters>2164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Delo</cp:lastModifiedBy>
  <cp:revision>2</cp:revision>
  <cp:lastPrinted>2022-03-05T15:34:00Z</cp:lastPrinted>
  <dcterms:created xsi:type="dcterms:W3CDTF">2024-12-19T13:37:00Z</dcterms:created>
  <dcterms:modified xsi:type="dcterms:W3CDTF">2024-12-19T13:37:00Z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